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8808" w14:textId="5B155F44" w:rsidR="003823DA" w:rsidRPr="003823DA" w:rsidRDefault="00C741AB" w:rsidP="003823D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VETERANS AND FAMILIES SERVICE - </w:t>
      </w:r>
      <w:r w:rsidR="007E688C">
        <w:rPr>
          <w:rFonts w:cstheme="minorHAnsi"/>
          <w:b/>
          <w:bCs/>
          <w:sz w:val="28"/>
          <w:szCs w:val="28"/>
        </w:rPr>
        <w:t xml:space="preserve">SENIOR </w:t>
      </w:r>
      <w:r w:rsidR="00F02E2F">
        <w:rPr>
          <w:rFonts w:cstheme="minorHAnsi"/>
          <w:b/>
          <w:bCs/>
          <w:sz w:val="28"/>
          <w:szCs w:val="28"/>
        </w:rPr>
        <w:t>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  <w:gridCol w:w="1656"/>
      </w:tblGrid>
      <w:tr w:rsidR="00067186" w:rsidRPr="004F10D5" w14:paraId="3FD0AEAB" w14:textId="77777777" w:rsidTr="0007192C">
        <w:trPr>
          <w:trHeight w:val="1604"/>
        </w:trPr>
        <w:tc>
          <w:tcPr>
            <w:tcW w:w="7360" w:type="dxa"/>
          </w:tcPr>
          <w:p w14:paraId="695E5D47" w14:textId="77777777" w:rsidR="00B32176" w:rsidRPr="00B32176" w:rsidRDefault="00B32176" w:rsidP="00B32176">
            <w:pPr>
              <w:rPr>
                <w:rFonts w:cstheme="minorHAnsi"/>
                <w:sz w:val="24"/>
                <w:szCs w:val="24"/>
              </w:rPr>
            </w:pPr>
          </w:p>
          <w:p w14:paraId="2ABA3243" w14:textId="642D613B" w:rsidR="00067186" w:rsidRPr="00E21E65" w:rsidRDefault="00B32176" w:rsidP="00B32176">
            <w:pPr>
              <w:rPr>
                <w:rFonts w:cstheme="minorHAnsi"/>
                <w:sz w:val="24"/>
                <w:szCs w:val="24"/>
              </w:rPr>
            </w:pPr>
            <w:r w:rsidRPr="00B32176">
              <w:rPr>
                <w:rFonts w:cstheme="minorHAnsi"/>
                <w:sz w:val="24"/>
                <w:szCs w:val="24"/>
              </w:rPr>
              <w:t>TGP Cymru is one of the leading Wales based charities, which supports and represents vulnerable children, young people, and families through a range of projects, training and campaigning. TGP Cymru services are funded by multiple funders and deliver services pan-Wales.</w:t>
            </w:r>
          </w:p>
        </w:tc>
        <w:tc>
          <w:tcPr>
            <w:tcW w:w="1656" w:type="dxa"/>
          </w:tcPr>
          <w:p w14:paraId="41E2AD1E" w14:textId="77777777" w:rsidR="00067186" w:rsidRPr="004F10D5" w:rsidRDefault="00067186" w:rsidP="00067186">
            <w:pPr>
              <w:rPr>
                <w:rFonts w:cstheme="minorHAnsi"/>
                <w:sz w:val="24"/>
                <w:szCs w:val="24"/>
              </w:rPr>
            </w:pPr>
          </w:p>
          <w:p w14:paraId="61100D07" w14:textId="5E13A6FE" w:rsidR="00067186" w:rsidRPr="004F10D5" w:rsidRDefault="00067186" w:rsidP="000671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0D5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515C7F96" wp14:editId="6ED49A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914400" cy="765868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7186" w:rsidRPr="004F10D5" w14:paraId="3F327AFB" w14:textId="77777777" w:rsidTr="732F9A44">
        <w:tc>
          <w:tcPr>
            <w:tcW w:w="9016" w:type="dxa"/>
            <w:gridSpan w:val="2"/>
          </w:tcPr>
          <w:p w14:paraId="3EBD6FEE" w14:textId="197FC976" w:rsidR="00067186" w:rsidRDefault="00782D90">
            <w:pPr>
              <w:rPr>
                <w:rFonts w:cstheme="minorHAnsi"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TGP </w:t>
            </w:r>
            <w:r w:rsidR="00530892">
              <w:rPr>
                <w:rFonts w:cstheme="minorHAnsi"/>
                <w:b/>
                <w:bCs/>
                <w:sz w:val="24"/>
                <w:szCs w:val="24"/>
              </w:rPr>
              <w:t>Cymru D</w:t>
            </w:r>
            <w:r w:rsidRPr="00E21E65">
              <w:rPr>
                <w:rFonts w:cstheme="minorHAnsi"/>
                <w:b/>
                <w:bCs/>
                <w:sz w:val="24"/>
                <w:szCs w:val="24"/>
              </w:rPr>
              <w:t>epartment:</w:t>
            </w:r>
            <w:r w:rsidRPr="00E21E65">
              <w:rPr>
                <w:rFonts w:cstheme="minorHAnsi"/>
                <w:sz w:val="24"/>
                <w:szCs w:val="24"/>
              </w:rPr>
              <w:t xml:space="preserve"> </w:t>
            </w:r>
            <w:r w:rsidR="00C42ED3">
              <w:rPr>
                <w:rFonts w:cstheme="minorHAnsi"/>
                <w:sz w:val="24"/>
                <w:szCs w:val="24"/>
              </w:rPr>
              <w:t>Family</w:t>
            </w:r>
            <w:r w:rsidRPr="00E21E65">
              <w:rPr>
                <w:rFonts w:cstheme="minorHAnsi"/>
                <w:sz w:val="24"/>
                <w:szCs w:val="24"/>
              </w:rPr>
              <w:t xml:space="preserve"> Services</w:t>
            </w:r>
          </w:p>
          <w:p w14:paraId="285AD1E1" w14:textId="6A7FAA84" w:rsidR="00E21E65" w:rsidRPr="00E21E65" w:rsidRDefault="00E21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7186" w:rsidRPr="004F10D5" w14:paraId="49589BD9" w14:textId="77777777" w:rsidTr="732F9A44">
        <w:tc>
          <w:tcPr>
            <w:tcW w:w="9016" w:type="dxa"/>
            <w:gridSpan w:val="2"/>
          </w:tcPr>
          <w:p w14:paraId="1F38C88D" w14:textId="59E453F5" w:rsidR="00067186" w:rsidRDefault="00067186">
            <w:pPr>
              <w:rPr>
                <w:rFonts w:cstheme="minorHAnsi"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Responsible to: </w:t>
            </w:r>
            <w:r w:rsidR="005A1D25">
              <w:rPr>
                <w:rFonts w:cstheme="minorHAnsi"/>
                <w:sz w:val="24"/>
                <w:szCs w:val="24"/>
              </w:rPr>
              <w:t>Veterans and Families</w:t>
            </w:r>
            <w:r w:rsidR="00530892">
              <w:rPr>
                <w:rFonts w:cstheme="minorHAnsi"/>
                <w:sz w:val="24"/>
                <w:szCs w:val="24"/>
              </w:rPr>
              <w:t xml:space="preserve"> Team Manager</w:t>
            </w:r>
          </w:p>
          <w:p w14:paraId="5ED5C0F7" w14:textId="047BDF79" w:rsidR="00E21E65" w:rsidRPr="00E21E65" w:rsidRDefault="00E21E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67186" w:rsidRPr="004F10D5" w14:paraId="6B7D2AC9" w14:textId="77777777" w:rsidTr="732F9A44">
        <w:tc>
          <w:tcPr>
            <w:tcW w:w="9016" w:type="dxa"/>
            <w:gridSpan w:val="2"/>
          </w:tcPr>
          <w:p w14:paraId="24C1BE35" w14:textId="4DFEFEAD" w:rsidR="00067186" w:rsidRDefault="00067186">
            <w:pPr>
              <w:rPr>
                <w:rFonts w:cstheme="minorHAnsi"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Location: </w:t>
            </w:r>
            <w:r w:rsidR="008D1E0C">
              <w:rPr>
                <w:rFonts w:ascii="Calibri" w:hAnsi="Calibri" w:cs="Calibri"/>
                <w:bCs/>
                <w:iCs/>
                <w:sz w:val="24"/>
                <w:szCs w:val="24"/>
              </w:rPr>
              <w:t>Home based</w:t>
            </w:r>
            <w:r w:rsidR="0033312E" w:rsidRPr="0033312E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</w:t>
            </w:r>
            <w:r w:rsidR="00B32176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in line with our Working </w:t>
            </w:r>
            <w:r w:rsidR="00302702">
              <w:rPr>
                <w:rFonts w:ascii="Calibri" w:hAnsi="Calibri" w:cs="Calibri"/>
                <w:bCs/>
                <w:iCs/>
                <w:sz w:val="24"/>
                <w:szCs w:val="24"/>
              </w:rPr>
              <w:t>from</w:t>
            </w:r>
            <w:r w:rsidR="00B32176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Anywhere Framework</w:t>
            </w:r>
          </w:p>
          <w:p w14:paraId="5A578B05" w14:textId="60728769" w:rsidR="00E21E65" w:rsidRPr="00E21E65" w:rsidRDefault="00E21E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2D90" w:rsidRPr="004F10D5" w14:paraId="41C10830" w14:textId="77777777" w:rsidTr="732F9A44">
        <w:tc>
          <w:tcPr>
            <w:tcW w:w="9016" w:type="dxa"/>
            <w:gridSpan w:val="2"/>
          </w:tcPr>
          <w:p w14:paraId="7354BA09" w14:textId="77777777" w:rsidR="00782D90" w:rsidRPr="00D823DA" w:rsidRDefault="00782D90" w:rsidP="00782D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23DA">
              <w:rPr>
                <w:rFonts w:cstheme="minorHAnsi"/>
                <w:b/>
                <w:bCs/>
                <w:sz w:val="24"/>
                <w:szCs w:val="24"/>
              </w:rPr>
              <w:t xml:space="preserve">Purpose of role: </w:t>
            </w:r>
          </w:p>
          <w:p w14:paraId="044FB196" w14:textId="43F9F20A" w:rsidR="001B757A" w:rsidRPr="00646B54" w:rsidRDefault="001B757A" w:rsidP="00C42ED3">
            <w:pPr>
              <w:rPr>
                <w:rFonts w:ascii="Calibri" w:hAnsi="Calibri" w:cs="Calibri"/>
                <w:sz w:val="24"/>
                <w:szCs w:val="24"/>
              </w:rPr>
            </w:pPr>
            <w:r w:rsidRPr="00646B54">
              <w:rPr>
                <w:rFonts w:ascii="Calibri" w:hAnsi="Calibri" w:cs="Calibri"/>
                <w:sz w:val="24"/>
                <w:szCs w:val="24"/>
              </w:rPr>
              <w:t>The Veterans and Families Service is the latest development in TGP Cymru’s journey supporting Veterans and their families to help improve relationships, communication and family functioning.</w:t>
            </w:r>
          </w:p>
          <w:p w14:paraId="752E818D" w14:textId="77777777" w:rsidR="001B757A" w:rsidRPr="00646B54" w:rsidRDefault="001B757A" w:rsidP="00C42ED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136F58" w14:textId="1FC8CEDA" w:rsidR="00A00126" w:rsidRPr="00646B54" w:rsidRDefault="009B2DEC" w:rsidP="00C42ED3">
            <w:pPr>
              <w:rPr>
                <w:rFonts w:ascii="Calibri" w:hAnsi="Calibri"/>
                <w:sz w:val="24"/>
                <w:szCs w:val="24"/>
              </w:rPr>
            </w:pPr>
            <w:r w:rsidRPr="00646B54">
              <w:rPr>
                <w:rFonts w:ascii="Calibri" w:hAnsi="Calibri" w:cs="Calibri"/>
                <w:sz w:val="24"/>
                <w:szCs w:val="24"/>
              </w:rPr>
              <w:t>T</w:t>
            </w:r>
            <w:r w:rsidR="001B757A" w:rsidRPr="00646B54">
              <w:rPr>
                <w:rFonts w:ascii="Calibri" w:hAnsi="Calibri" w:cs="Calibri"/>
                <w:sz w:val="24"/>
                <w:szCs w:val="24"/>
              </w:rPr>
              <w:t>he role of the Senior Practitioner is t</w:t>
            </w:r>
            <w:r w:rsidRPr="00646B54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790015" w:rsidRPr="00646B54">
              <w:rPr>
                <w:rFonts w:ascii="Calibri" w:hAnsi="Calibri" w:cs="Calibri"/>
                <w:sz w:val="24"/>
                <w:szCs w:val="24"/>
              </w:rPr>
              <w:t>assist</w:t>
            </w:r>
            <w:r w:rsidRPr="00646B54">
              <w:rPr>
                <w:rFonts w:ascii="Calibri" w:hAnsi="Calibri" w:cs="Calibri"/>
                <w:sz w:val="24"/>
                <w:szCs w:val="24"/>
              </w:rPr>
              <w:t xml:space="preserve"> the Team Manager </w:t>
            </w:r>
            <w:r w:rsidR="0006385C" w:rsidRPr="00646B54">
              <w:rPr>
                <w:rFonts w:ascii="Calibri" w:hAnsi="Calibri" w:cs="Calibri"/>
                <w:sz w:val="24"/>
                <w:szCs w:val="24"/>
              </w:rPr>
              <w:t xml:space="preserve">to deliver an effective service </w:t>
            </w:r>
            <w:r w:rsidR="003B020D" w:rsidRPr="00646B54">
              <w:rPr>
                <w:rFonts w:ascii="Calibri" w:hAnsi="Calibri" w:cs="Calibri"/>
                <w:sz w:val="24"/>
                <w:szCs w:val="24"/>
              </w:rPr>
              <w:t xml:space="preserve">including </w:t>
            </w:r>
            <w:r w:rsidR="00985090" w:rsidRPr="00646B54">
              <w:rPr>
                <w:rFonts w:ascii="Calibri" w:hAnsi="Calibri" w:cs="Calibri"/>
                <w:sz w:val="24"/>
                <w:szCs w:val="24"/>
              </w:rPr>
              <w:t xml:space="preserve">all aspects of </w:t>
            </w:r>
            <w:r w:rsidR="003B020D" w:rsidRPr="00646B54">
              <w:rPr>
                <w:rFonts w:ascii="Calibri" w:hAnsi="Calibri" w:cs="Calibri"/>
                <w:sz w:val="24"/>
                <w:szCs w:val="24"/>
              </w:rPr>
              <w:t>s</w:t>
            </w:r>
            <w:r w:rsidR="00C03FB4" w:rsidRPr="00646B54">
              <w:rPr>
                <w:rFonts w:ascii="Calibri" w:hAnsi="Calibri" w:cs="Calibri"/>
                <w:sz w:val="24"/>
                <w:szCs w:val="24"/>
              </w:rPr>
              <w:t>upporting</w:t>
            </w:r>
            <w:r w:rsidR="00C60E80" w:rsidRPr="00646B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1E0C" w:rsidRPr="00646B54">
              <w:rPr>
                <w:rFonts w:ascii="Calibri" w:hAnsi="Calibri" w:cs="Calibri"/>
                <w:sz w:val="24"/>
                <w:szCs w:val="24"/>
              </w:rPr>
              <w:t>team members</w:t>
            </w:r>
            <w:r w:rsidR="00846D35" w:rsidRPr="00646B54">
              <w:rPr>
                <w:rFonts w:ascii="Calibri" w:hAnsi="Calibri"/>
                <w:sz w:val="24"/>
                <w:szCs w:val="24"/>
              </w:rPr>
              <w:t xml:space="preserve"> and</w:t>
            </w:r>
            <w:r w:rsidR="005E27F2" w:rsidRPr="00646B5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7358D" w:rsidRPr="00646B54">
              <w:rPr>
                <w:rFonts w:ascii="Calibri" w:hAnsi="Calibri"/>
                <w:sz w:val="24"/>
                <w:szCs w:val="24"/>
              </w:rPr>
              <w:t xml:space="preserve">mentoring a pool of </w:t>
            </w:r>
            <w:r w:rsidR="004D154C" w:rsidRPr="00646B54">
              <w:rPr>
                <w:rFonts w:ascii="Calibri" w:hAnsi="Calibri"/>
                <w:sz w:val="24"/>
                <w:szCs w:val="24"/>
              </w:rPr>
              <w:t>practitioners</w:t>
            </w:r>
            <w:r w:rsidR="0067358D" w:rsidRPr="00646B5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00126" w:rsidRPr="00646B54">
              <w:rPr>
                <w:rFonts w:ascii="Calibri" w:hAnsi="Calibri"/>
                <w:sz w:val="24"/>
                <w:szCs w:val="24"/>
              </w:rPr>
              <w:t>in line with TGP Cymru’s policies and proc</w:t>
            </w:r>
            <w:r w:rsidR="006E05CF" w:rsidRPr="00646B54">
              <w:rPr>
                <w:rFonts w:ascii="Calibri" w:hAnsi="Calibri"/>
                <w:sz w:val="24"/>
                <w:szCs w:val="24"/>
              </w:rPr>
              <w:t>edures</w:t>
            </w:r>
            <w:r w:rsidR="00A00126" w:rsidRPr="00646B54">
              <w:rPr>
                <w:rFonts w:ascii="Calibri" w:hAnsi="Calibri"/>
                <w:sz w:val="24"/>
                <w:szCs w:val="24"/>
              </w:rPr>
              <w:t xml:space="preserve"> ensuring the regulatory and contractual compliance of the organisation.</w:t>
            </w:r>
          </w:p>
          <w:p w14:paraId="49F7C803" w14:textId="3F664A09" w:rsidR="005E27F2" w:rsidRPr="005E27F2" w:rsidRDefault="005E27F2" w:rsidP="002B06E1">
            <w:pPr>
              <w:rPr>
                <w:rFonts w:ascii="Calibri" w:hAnsi="Calibri"/>
              </w:rPr>
            </w:pPr>
          </w:p>
        </w:tc>
      </w:tr>
      <w:tr w:rsidR="00067186" w:rsidRPr="004F10D5" w14:paraId="7B7DC7F3" w14:textId="77777777" w:rsidTr="001B757A">
        <w:trPr>
          <w:trHeight w:val="2135"/>
        </w:trPr>
        <w:tc>
          <w:tcPr>
            <w:tcW w:w="9016" w:type="dxa"/>
            <w:gridSpan w:val="2"/>
          </w:tcPr>
          <w:p w14:paraId="68B36EC3" w14:textId="42E4D095" w:rsidR="00330CD4" w:rsidRDefault="002B06E1" w:rsidP="00FB59B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D5232" w:rsidRPr="00E21E65">
              <w:rPr>
                <w:rFonts w:cstheme="minorHAnsi"/>
                <w:b/>
                <w:bCs/>
                <w:sz w:val="24"/>
                <w:szCs w:val="24"/>
              </w:rPr>
              <w:t>ccountabilities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/ Responsibilities</w:t>
            </w:r>
            <w:r w:rsidR="0027724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49F70B3" w14:textId="53418191" w:rsidR="00600E3E" w:rsidRPr="00646B54" w:rsidRDefault="00600E3E" w:rsidP="00600E3E">
            <w:pPr>
              <w:rPr>
                <w:rFonts w:cstheme="minorHAnsi"/>
                <w:sz w:val="24"/>
                <w:szCs w:val="24"/>
              </w:rPr>
            </w:pPr>
          </w:p>
          <w:p w14:paraId="4F442F66" w14:textId="0BCE196B" w:rsidR="009B04D9" w:rsidRPr="00646B54" w:rsidRDefault="009B04D9" w:rsidP="006E670D">
            <w:pPr>
              <w:widowControl w:val="0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>Deputise for the Team Manager as appropriate</w:t>
            </w:r>
            <w:r w:rsidR="00FD6C87" w:rsidRPr="00646B54">
              <w:rPr>
                <w:rFonts w:cstheme="minorHAnsi"/>
                <w:sz w:val="24"/>
                <w:szCs w:val="24"/>
              </w:rPr>
              <w:t xml:space="preserve">, supporting </w:t>
            </w:r>
            <w:r w:rsidR="00FD6C87" w:rsidRPr="00646B54">
              <w:rPr>
                <w:rFonts w:ascii="Calibri" w:hAnsi="Calibri" w:cs="Calibri"/>
                <w:sz w:val="24"/>
                <w:szCs w:val="24"/>
              </w:rPr>
              <w:t xml:space="preserve">the development and delivery of a service that utilises Restorative Engagement to help </w:t>
            </w:r>
            <w:r w:rsidR="00E1404E" w:rsidRPr="00646B54">
              <w:rPr>
                <w:rFonts w:ascii="Calibri" w:hAnsi="Calibri" w:cs="Calibri"/>
                <w:sz w:val="24"/>
                <w:szCs w:val="24"/>
              </w:rPr>
              <w:t>Veterans,</w:t>
            </w:r>
            <w:r w:rsidR="00FD6C87" w:rsidRPr="00646B54">
              <w:rPr>
                <w:rFonts w:ascii="Calibri" w:hAnsi="Calibri" w:cs="Calibri"/>
                <w:sz w:val="24"/>
                <w:szCs w:val="24"/>
              </w:rPr>
              <w:t xml:space="preserve"> and their families improve relationships, communication and family functioning</w:t>
            </w:r>
          </w:p>
          <w:p w14:paraId="4489D730" w14:textId="77777777" w:rsidR="00407E7E" w:rsidRPr="00646B54" w:rsidRDefault="00407E7E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 xml:space="preserve">Provide practice support and formal supervision to practitioners </w:t>
            </w:r>
          </w:p>
          <w:p w14:paraId="7711206E" w14:textId="77777777" w:rsidR="00407E7E" w:rsidRPr="00646B54" w:rsidRDefault="00407E7E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 xml:space="preserve">Accept referrals in line with agreed criteria and distribute within team, including managing own caseload  </w:t>
            </w:r>
          </w:p>
          <w:p w14:paraId="67160D8D" w14:textId="77777777" w:rsidR="00407E7E" w:rsidRPr="00646B54" w:rsidRDefault="00407E7E" w:rsidP="006E670D">
            <w:pPr>
              <w:widowControl w:val="0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 xml:space="preserve">Prepare / Encourage / Support / Enable Veterans, family members and professionals to engage and achieve their desired outcomes </w:t>
            </w:r>
            <w:r w:rsidRPr="00646B54">
              <w:rPr>
                <w:rFonts w:ascii="Calibri" w:hAnsi="Calibri" w:cs="Calibri"/>
                <w:sz w:val="24"/>
                <w:szCs w:val="24"/>
              </w:rPr>
              <w:t>using a variety of methodologies including Restorative Approaches, Motivational Interviewing, Conflict Resolution and Family Group Meetings</w:t>
            </w:r>
          </w:p>
          <w:p w14:paraId="056445E1" w14:textId="1FEF01CB" w:rsidR="0043124E" w:rsidRPr="00646B54" w:rsidRDefault="0067358D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>Develop elements of the Service’s work as directed by the Team Manager</w:t>
            </w:r>
          </w:p>
          <w:p w14:paraId="3FBB3413" w14:textId="684AAD17" w:rsidR="007A461C" w:rsidRDefault="007A461C" w:rsidP="006E670D">
            <w:pPr>
              <w:widowControl w:val="0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F321E0">
              <w:rPr>
                <w:rFonts w:ascii="Calibri" w:hAnsi="Calibri" w:cs="Calibri"/>
                <w:sz w:val="24"/>
                <w:szCs w:val="24"/>
              </w:rPr>
              <w:t>Raise awareness, understanding and enthusiasm for the Service’s work, amongst relevant professionals</w:t>
            </w:r>
          </w:p>
          <w:p w14:paraId="382D1DFA" w14:textId="4ECAF9B8" w:rsidR="00441E12" w:rsidRPr="00407E7E" w:rsidRDefault="00441E12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30E9">
              <w:rPr>
                <w:rFonts w:cstheme="minorHAnsi"/>
                <w:sz w:val="24"/>
                <w:szCs w:val="24"/>
              </w:rPr>
              <w:t>Network appropriately with colleagues and the community, including developing awareness of TGP Cymru’s services amongst relevant professionals</w:t>
            </w:r>
          </w:p>
          <w:p w14:paraId="54FCB07E" w14:textId="315056B3" w:rsidR="00FB59B1" w:rsidRDefault="00FB59B1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the Team Manager to assess the </w:t>
            </w:r>
            <w:r w:rsidR="00ED3E4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ervice’s outputs against the framework of agreed outcomes by the</w:t>
            </w:r>
            <w:r w:rsidR="0095621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monitoring of activity and the collection of appropriate information including feedback from service users</w:t>
            </w:r>
          </w:p>
          <w:p w14:paraId="4FFFE0EB" w14:textId="1245B14D" w:rsidR="000107C3" w:rsidRPr="00441E12" w:rsidRDefault="00B46717" w:rsidP="006E670D">
            <w:pPr>
              <w:widowControl w:val="0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 the Team Manager to m</w:t>
            </w:r>
            <w:r w:rsidR="00F43EF0" w:rsidRPr="00BB5995">
              <w:rPr>
                <w:rFonts w:ascii="Calibri" w:eastAsia="Calibri" w:hAnsi="Calibri" w:cs="Calibri"/>
                <w:sz w:val="24"/>
                <w:szCs w:val="24"/>
              </w:rPr>
              <w:t>onitor the quality of service against agreed performance indicators and standards and take any necessary action where the performance is below agreed indicators and standards</w:t>
            </w:r>
          </w:p>
          <w:p w14:paraId="3C6E4428" w14:textId="33E92C5C" w:rsidR="00ED3E4E" w:rsidRPr="006E670D" w:rsidRDefault="00ED3E4E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70D">
              <w:rPr>
                <w:rFonts w:cstheme="minorHAnsi"/>
                <w:sz w:val="24"/>
                <w:szCs w:val="24"/>
              </w:rPr>
              <w:t>Comply with TGP Cymru’s policies and procedures</w:t>
            </w:r>
            <w:r w:rsidR="00907A89" w:rsidRPr="006E670D">
              <w:rPr>
                <w:rFonts w:cstheme="minorHAnsi"/>
                <w:sz w:val="24"/>
                <w:szCs w:val="24"/>
              </w:rPr>
              <w:t xml:space="preserve"> includ</w:t>
            </w:r>
            <w:r w:rsidR="009B04D9" w:rsidRPr="006E670D">
              <w:rPr>
                <w:rFonts w:cstheme="minorHAnsi"/>
                <w:sz w:val="24"/>
                <w:szCs w:val="24"/>
              </w:rPr>
              <w:t>ing</w:t>
            </w:r>
            <w:r w:rsidR="00907A89" w:rsidRPr="006E670D">
              <w:rPr>
                <w:rFonts w:cstheme="minorHAnsi"/>
                <w:sz w:val="24"/>
                <w:szCs w:val="24"/>
              </w:rPr>
              <w:t xml:space="preserve"> finance, reporting, data management and safeguarding</w:t>
            </w:r>
          </w:p>
          <w:p w14:paraId="68D11507" w14:textId="77777777" w:rsidR="006E670D" w:rsidRPr="006E670D" w:rsidRDefault="006E670D" w:rsidP="006E67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70D">
              <w:rPr>
                <w:rFonts w:cstheme="minorHAnsi"/>
                <w:sz w:val="24"/>
                <w:szCs w:val="24"/>
              </w:rPr>
              <w:t>Promote equal opportunities and anti-discriminatory practice through the work undertaken within post</w:t>
            </w:r>
          </w:p>
          <w:p w14:paraId="02290A53" w14:textId="75B454AA" w:rsidR="00CF15FD" w:rsidRPr="001F09CC" w:rsidRDefault="00330CD4" w:rsidP="001B7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670D">
              <w:rPr>
                <w:rFonts w:cstheme="minorHAnsi"/>
                <w:sz w:val="24"/>
                <w:szCs w:val="24"/>
              </w:rPr>
              <w:t>Undertake s</w:t>
            </w:r>
            <w:r w:rsidR="00082FF9" w:rsidRPr="006E670D">
              <w:rPr>
                <w:rFonts w:cstheme="minorHAnsi"/>
                <w:sz w:val="24"/>
                <w:szCs w:val="24"/>
              </w:rPr>
              <w:t>uch other duties and responsibilities as may reasonably be required by the Organisation and which are consistent with grade</w:t>
            </w:r>
          </w:p>
        </w:tc>
      </w:tr>
      <w:tr w:rsidR="0033312E" w:rsidRPr="004F10D5" w14:paraId="557DF9C7" w14:textId="77777777" w:rsidTr="732F9A44">
        <w:tc>
          <w:tcPr>
            <w:tcW w:w="9016" w:type="dxa"/>
            <w:gridSpan w:val="2"/>
          </w:tcPr>
          <w:p w14:paraId="03D23F2B" w14:textId="2E68747B" w:rsidR="00CA266D" w:rsidRDefault="00CA266D" w:rsidP="00CA26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Performance Indicators</w:t>
            </w:r>
            <w:r w:rsidR="0027724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3CE18CF" w14:textId="77777777" w:rsidR="00CA266D" w:rsidRDefault="00CA266D" w:rsidP="00CA266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A7BEB" w14:textId="77777777" w:rsidR="00CA266D" w:rsidRDefault="00CA266D" w:rsidP="00CA26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354B7">
              <w:rPr>
                <w:rFonts w:cstheme="minorHAnsi"/>
                <w:bCs/>
                <w:sz w:val="24"/>
                <w:szCs w:val="24"/>
              </w:rPr>
              <w:t xml:space="preserve">Responsible for the delivery of key performance indicators and standards of practice. </w:t>
            </w:r>
          </w:p>
          <w:p w14:paraId="35909B1F" w14:textId="77777777" w:rsidR="00CA266D" w:rsidRDefault="00CA266D" w:rsidP="00CA26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354B7">
              <w:rPr>
                <w:rFonts w:cstheme="minorHAnsi"/>
                <w:bCs/>
                <w:sz w:val="24"/>
                <w:szCs w:val="24"/>
              </w:rPr>
              <w:t>Quality of service and complian</w:t>
            </w:r>
            <w:r>
              <w:rPr>
                <w:rFonts w:cstheme="minorHAnsi"/>
                <w:bCs/>
                <w:sz w:val="24"/>
                <w:szCs w:val="24"/>
              </w:rPr>
              <w:t>ce against statutory, regulatory, organisational</w:t>
            </w:r>
            <w:r w:rsidRPr="00E354B7">
              <w:rPr>
                <w:rFonts w:cstheme="minorHAnsi"/>
                <w:bCs/>
                <w:sz w:val="24"/>
                <w:szCs w:val="24"/>
              </w:rPr>
              <w:t xml:space="preserve"> and best practic</w:t>
            </w:r>
            <w:r>
              <w:rPr>
                <w:rFonts w:cstheme="minorHAnsi"/>
                <w:bCs/>
                <w:sz w:val="24"/>
                <w:szCs w:val="24"/>
              </w:rPr>
              <w:t xml:space="preserve">e standards and requirements.  </w:t>
            </w:r>
          </w:p>
          <w:p w14:paraId="2A2F56EB" w14:textId="77777777" w:rsidR="00901C37" w:rsidRDefault="00CA266D" w:rsidP="001A2F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Achievement of service</w:t>
            </w:r>
            <w:r w:rsidRPr="00E354B7">
              <w:rPr>
                <w:rFonts w:cstheme="minorHAnsi"/>
                <w:bCs/>
                <w:sz w:val="24"/>
                <w:szCs w:val="24"/>
              </w:rPr>
              <w:t xml:space="preserve"> objectives and targets. </w:t>
            </w:r>
          </w:p>
          <w:p w14:paraId="3D6136BE" w14:textId="25D8679D" w:rsidR="00E072E8" w:rsidRPr="001A2FED" w:rsidRDefault="00E072E8" w:rsidP="00E072E8">
            <w:pPr>
              <w:pStyle w:val="ListParagraph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D5968" w:rsidRPr="004F10D5" w14:paraId="050278D6" w14:textId="77777777" w:rsidTr="732F9A44">
        <w:tc>
          <w:tcPr>
            <w:tcW w:w="9016" w:type="dxa"/>
            <w:gridSpan w:val="2"/>
          </w:tcPr>
          <w:p w14:paraId="4835D56A" w14:textId="1BBAE3FB" w:rsidR="004D5968" w:rsidRDefault="004D59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>Line management responsibility</w:t>
            </w:r>
            <w:r w:rsidR="002A018E">
              <w:rPr>
                <w:rFonts w:cstheme="minorHAnsi"/>
                <w:b/>
                <w:bCs/>
                <w:sz w:val="24"/>
                <w:szCs w:val="24"/>
              </w:rPr>
              <w:t xml:space="preserve"> (as of </w:t>
            </w:r>
            <w:r w:rsidR="00554EF8">
              <w:rPr>
                <w:rFonts w:cstheme="minorHAnsi"/>
                <w:b/>
                <w:bCs/>
                <w:sz w:val="24"/>
                <w:szCs w:val="24"/>
              </w:rPr>
              <w:t>30/09/2024</w:t>
            </w:r>
            <w:r w:rsidR="002A018E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7A9533EF" w14:textId="7D958BE7" w:rsidR="000B1D02" w:rsidRDefault="001B757A" w:rsidP="002042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  <w:p w14:paraId="4D2E51BC" w14:textId="0D11AFE2" w:rsidR="00901C37" w:rsidRPr="00901C37" w:rsidRDefault="00901C37" w:rsidP="002042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5968" w:rsidRPr="004F10D5" w14:paraId="312865AF" w14:textId="77777777" w:rsidTr="732F9A44">
        <w:tc>
          <w:tcPr>
            <w:tcW w:w="9016" w:type="dxa"/>
            <w:gridSpan w:val="2"/>
          </w:tcPr>
          <w:p w14:paraId="15845F29" w14:textId="07939C5B" w:rsidR="004D5968" w:rsidRDefault="004D59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Budget management </w:t>
            </w:r>
            <w:r w:rsidR="002A018E" w:rsidRPr="00E21E65">
              <w:rPr>
                <w:rFonts w:cstheme="minorHAnsi"/>
                <w:b/>
                <w:bCs/>
                <w:sz w:val="24"/>
                <w:szCs w:val="24"/>
              </w:rPr>
              <w:t>responsibility</w:t>
            </w:r>
            <w:r w:rsidR="002A018E">
              <w:rPr>
                <w:rFonts w:cstheme="minorHAnsi"/>
                <w:b/>
                <w:bCs/>
                <w:sz w:val="24"/>
                <w:szCs w:val="24"/>
              </w:rPr>
              <w:t xml:space="preserve"> (as of </w:t>
            </w:r>
            <w:r w:rsidR="00554EF8">
              <w:rPr>
                <w:rFonts w:cstheme="minorHAnsi"/>
                <w:b/>
                <w:bCs/>
                <w:sz w:val="24"/>
                <w:szCs w:val="24"/>
              </w:rPr>
              <w:t>30/09/2024</w:t>
            </w:r>
            <w:r w:rsidR="002A018E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E21E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DBE54BD" w14:textId="2D830542" w:rsidR="000C69DB" w:rsidRDefault="001B7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  <w:p w14:paraId="3F36B772" w14:textId="48F658ED" w:rsidR="00901C37" w:rsidRPr="00901C37" w:rsidRDefault="00901C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5232" w:rsidRPr="004F10D5" w14:paraId="02E9FB43" w14:textId="77777777" w:rsidTr="732F9A44">
        <w:tc>
          <w:tcPr>
            <w:tcW w:w="9016" w:type="dxa"/>
            <w:gridSpan w:val="2"/>
          </w:tcPr>
          <w:p w14:paraId="2F619810" w14:textId="77777777" w:rsidR="00901C37" w:rsidRDefault="004D5232" w:rsidP="0020421C">
            <w:pPr>
              <w:tabs>
                <w:tab w:val="left" w:pos="114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>Grade</w:t>
            </w:r>
            <w:r w:rsidR="0020421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42FDA264" w14:textId="300D9D4F" w:rsidR="004D5232" w:rsidRPr="00901C37" w:rsidRDefault="00B77947" w:rsidP="0020421C">
            <w:pPr>
              <w:tabs>
                <w:tab w:val="left" w:pos="11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S3</w:t>
            </w:r>
          </w:p>
          <w:p w14:paraId="527C3AD6" w14:textId="4C85C5AF" w:rsidR="00A97263" w:rsidRPr="00E21E65" w:rsidRDefault="00A97263" w:rsidP="00782D9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5968" w:rsidRPr="004F10D5" w14:paraId="533C2FF3" w14:textId="77777777" w:rsidTr="732F9A44">
        <w:tc>
          <w:tcPr>
            <w:tcW w:w="9016" w:type="dxa"/>
            <w:gridSpan w:val="2"/>
          </w:tcPr>
          <w:p w14:paraId="3225FADF" w14:textId="79B4A73C" w:rsidR="00CC50CB" w:rsidRDefault="00782D90" w:rsidP="001B75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>Working conditions</w:t>
            </w:r>
            <w:r w:rsidR="0008770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8B7DEE9" w14:textId="6F65DEEC" w:rsidR="00082FF9" w:rsidRPr="00646B54" w:rsidRDefault="00782D90" w:rsidP="001B757A">
            <w:pPr>
              <w:rPr>
                <w:rFonts w:cstheme="minorHAnsi"/>
                <w:sz w:val="24"/>
                <w:szCs w:val="24"/>
              </w:rPr>
            </w:pPr>
            <w:r w:rsidRPr="00E21E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10D6A2" w14:textId="583C7E3E" w:rsidR="0033312E" w:rsidRPr="00646B54" w:rsidRDefault="001E5A47" w:rsidP="001B757A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646B54">
              <w:rPr>
                <w:rFonts w:cstheme="minorHAnsi"/>
                <w:sz w:val="24"/>
                <w:szCs w:val="24"/>
              </w:rPr>
              <w:t>18.5</w:t>
            </w:r>
            <w:r w:rsidR="00923D8C" w:rsidRPr="00646B54">
              <w:rPr>
                <w:rFonts w:cstheme="minorHAnsi"/>
                <w:sz w:val="24"/>
                <w:szCs w:val="24"/>
              </w:rPr>
              <w:t xml:space="preserve"> </w:t>
            </w:r>
            <w:r w:rsidR="0067358D" w:rsidRPr="00646B54">
              <w:rPr>
                <w:rFonts w:cstheme="minorHAnsi"/>
                <w:sz w:val="24"/>
                <w:szCs w:val="24"/>
              </w:rPr>
              <w:t xml:space="preserve">hours </w:t>
            </w:r>
            <w:r w:rsidR="00EC5813" w:rsidRPr="00646B54">
              <w:rPr>
                <w:rFonts w:cstheme="minorHAnsi"/>
                <w:sz w:val="24"/>
                <w:szCs w:val="24"/>
              </w:rPr>
              <w:t>per week</w:t>
            </w:r>
            <w:r w:rsidR="00B31F0B" w:rsidRPr="00646B54">
              <w:rPr>
                <w:rFonts w:cstheme="minorHAnsi"/>
                <w:sz w:val="24"/>
                <w:szCs w:val="24"/>
              </w:rPr>
              <w:t>.</w:t>
            </w:r>
          </w:p>
          <w:p w14:paraId="59BCCEE9" w14:textId="77777777" w:rsidR="00901C37" w:rsidRPr="0033312E" w:rsidRDefault="00901C37" w:rsidP="001B75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3943F3C" w14:textId="77777777" w:rsidR="00B31F0B" w:rsidRDefault="0033312E" w:rsidP="001B75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3312E">
              <w:rPr>
                <w:rFonts w:cs="Calibri"/>
                <w:sz w:val="24"/>
                <w:szCs w:val="24"/>
              </w:rPr>
              <w:t xml:space="preserve">Some work outside of office hours </w:t>
            </w:r>
            <w:r w:rsidR="0050133C">
              <w:rPr>
                <w:rFonts w:cs="Calibri"/>
                <w:sz w:val="24"/>
                <w:szCs w:val="24"/>
              </w:rPr>
              <w:t>may be</w:t>
            </w:r>
            <w:r w:rsidR="0050133C" w:rsidRPr="0033312E">
              <w:rPr>
                <w:rFonts w:cs="Calibri"/>
                <w:sz w:val="24"/>
                <w:szCs w:val="24"/>
              </w:rPr>
              <w:t xml:space="preserve"> </w:t>
            </w:r>
            <w:r w:rsidRPr="0033312E">
              <w:rPr>
                <w:rFonts w:cs="Calibri"/>
                <w:sz w:val="24"/>
                <w:szCs w:val="24"/>
              </w:rPr>
              <w:t xml:space="preserve">necessary requiring a flexible approach to the working week. </w:t>
            </w:r>
          </w:p>
          <w:p w14:paraId="21028DE9" w14:textId="77777777" w:rsidR="001B757A" w:rsidRDefault="001B757A" w:rsidP="001B75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E06E55C" w14:textId="094A9C38" w:rsidR="0033312E" w:rsidRDefault="0033312E" w:rsidP="001B75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3312E">
              <w:rPr>
                <w:rFonts w:cs="Calibri"/>
                <w:sz w:val="24"/>
                <w:szCs w:val="24"/>
              </w:rPr>
              <w:t>Occasional weekend work and occasional overnight stays to attend training / conferences /events or similar may be required</w:t>
            </w:r>
            <w:r w:rsidR="00B31F0B">
              <w:rPr>
                <w:rFonts w:cs="Calibri"/>
                <w:sz w:val="24"/>
                <w:szCs w:val="24"/>
              </w:rPr>
              <w:t>.</w:t>
            </w:r>
          </w:p>
          <w:p w14:paraId="141A8B04" w14:textId="77777777" w:rsidR="001B757A" w:rsidRPr="0033312E" w:rsidRDefault="001B757A" w:rsidP="001B75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04F9990" w14:textId="7FAE8BE7" w:rsidR="004D5968" w:rsidRDefault="0050133C" w:rsidP="001B75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role is </w:t>
            </w:r>
            <w:r w:rsidR="00B32176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ome</w:t>
            </w:r>
            <w:r w:rsidR="009149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6022">
              <w:rPr>
                <w:rFonts w:ascii="Calibri" w:hAnsi="Calibri" w:cs="Calibri"/>
                <w:sz w:val="24"/>
                <w:szCs w:val="24"/>
              </w:rPr>
              <w:t>based but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may require occasional t</w:t>
            </w:r>
            <w:r w:rsidR="0033312E" w:rsidRPr="0033312E">
              <w:rPr>
                <w:rFonts w:ascii="Calibri" w:hAnsi="Calibri" w:cs="Calibri"/>
                <w:sz w:val="24"/>
                <w:szCs w:val="24"/>
              </w:rPr>
              <w:t>ravel to various locations</w:t>
            </w:r>
            <w:r w:rsidR="0091499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527CEFA" w14:textId="1BF42581" w:rsidR="00AD379E" w:rsidRPr="00E21E65" w:rsidRDefault="00AD379E" w:rsidP="0033312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7FDB" w:rsidRPr="004F10D5" w14:paraId="27521DBD" w14:textId="77777777" w:rsidTr="732F9A44">
        <w:tc>
          <w:tcPr>
            <w:tcW w:w="9016" w:type="dxa"/>
            <w:gridSpan w:val="2"/>
          </w:tcPr>
          <w:p w14:paraId="0029371D" w14:textId="4AD2D890" w:rsidR="00977FDB" w:rsidRDefault="00977FDB" w:rsidP="00782D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Qualificati</w:t>
            </w:r>
            <w:r w:rsidR="00D343C8">
              <w:rPr>
                <w:rFonts w:cstheme="minorHAnsi"/>
                <w:b/>
                <w:bCs/>
                <w:sz w:val="24"/>
                <w:szCs w:val="24"/>
              </w:rPr>
              <w:t>ons</w:t>
            </w:r>
            <w:r w:rsidR="000E38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A97BC4B" w14:textId="6EC680DE" w:rsidR="00D343C8" w:rsidRPr="006E05CF" w:rsidRDefault="00D343C8" w:rsidP="006E05C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1"/>
              <w:rPr>
                <w:rFonts w:cstheme="minorHAnsi"/>
                <w:sz w:val="24"/>
                <w:szCs w:val="24"/>
              </w:rPr>
            </w:pPr>
            <w:r w:rsidRPr="006E05CF">
              <w:rPr>
                <w:rFonts w:cstheme="minorHAnsi"/>
                <w:sz w:val="24"/>
                <w:szCs w:val="24"/>
              </w:rPr>
              <w:t>A professional qualification in social work, youth and community work or related discipline such as Health and Education</w:t>
            </w:r>
            <w:r w:rsidR="00BA554C">
              <w:rPr>
                <w:rFonts w:cstheme="minorHAnsi"/>
                <w:sz w:val="24"/>
                <w:szCs w:val="24"/>
              </w:rPr>
              <w:t xml:space="preserve"> is desirable</w:t>
            </w:r>
          </w:p>
          <w:p w14:paraId="5D1FC840" w14:textId="48340271" w:rsidR="00D343C8" w:rsidRPr="00E21E65" w:rsidRDefault="00D343C8" w:rsidP="00782D9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480A" w:rsidRPr="004F10D5" w14:paraId="234F4F8F" w14:textId="77777777" w:rsidTr="732F9A44">
        <w:tc>
          <w:tcPr>
            <w:tcW w:w="9016" w:type="dxa"/>
            <w:gridSpan w:val="2"/>
          </w:tcPr>
          <w:p w14:paraId="16D018D9" w14:textId="089D22BF" w:rsidR="002E0AFB" w:rsidRDefault="00CF5D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1E65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="00D343C8">
              <w:rPr>
                <w:rFonts w:cstheme="minorHAnsi"/>
                <w:b/>
                <w:bCs/>
                <w:sz w:val="24"/>
                <w:szCs w:val="24"/>
              </w:rPr>
              <w:t xml:space="preserve"> and abilities</w:t>
            </w:r>
            <w:r w:rsidR="007C481B">
              <w:rPr>
                <w:rFonts w:cstheme="minorHAnsi"/>
                <w:b/>
                <w:bCs/>
                <w:sz w:val="24"/>
                <w:szCs w:val="24"/>
              </w:rPr>
              <w:t xml:space="preserve"> / competencies</w:t>
            </w:r>
            <w:r w:rsidR="002C1B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7EEACD9" w14:textId="77777777" w:rsidR="007C481B" w:rsidRPr="00E21E65" w:rsidRDefault="007C481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F4914B" w14:textId="14FD7C64" w:rsidR="00901C37" w:rsidRDefault="00901C37" w:rsidP="00901C37">
            <w:pPr>
              <w:rPr>
                <w:rFonts w:cstheme="minorHAnsi"/>
                <w:bCs/>
                <w:sz w:val="24"/>
                <w:szCs w:val="24"/>
              </w:rPr>
            </w:pPr>
            <w:r w:rsidRPr="002268B3">
              <w:rPr>
                <w:rFonts w:cstheme="minorHAnsi"/>
                <w:bCs/>
                <w:sz w:val="24"/>
                <w:szCs w:val="24"/>
              </w:rPr>
              <w:t>The post holder will be able to</w:t>
            </w:r>
            <w:r w:rsidR="007C481B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12769110" w14:textId="77777777" w:rsidR="00901C37" w:rsidRPr="00EA4C78" w:rsidRDefault="00901C37" w:rsidP="732F9A44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</w:pPr>
            <w:r w:rsidRPr="732F9A44"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  <w:t>produce quality results in a service-orientated and timely manner and is committed to deliver agreed outcomes</w:t>
            </w:r>
          </w:p>
          <w:p w14:paraId="69A7C9BC" w14:textId="77777777" w:rsidR="00901C37" w:rsidRPr="00802767" w:rsidRDefault="00901C37" w:rsidP="732F9A44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</w:pPr>
            <w:r w:rsidRPr="732F9A44"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  <w:t>work well with colleagues and partners and acknowledge the different ideas, perspectives and backgrounds of others</w:t>
            </w:r>
          </w:p>
          <w:p w14:paraId="64F3109B" w14:textId="77777777" w:rsidR="00901C37" w:rsidRPr="00802767" w:rsidRDefault="00901C37" w:rsidP="732F9A44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</w:pPr>
            <w:r w:rsidRPr="732F9A44">
              <w:rPr>
                <w:rFonts w:cstheme="minorBidi"/>
                <w:color w:val="333333"/>
                <w:sz w:val="24"/>
                <w:szCs w:val="24"/>
                <w:lang w:val="en-US" w:eastAsia="en-GB"/>
              </w:rPr>
              <w:t>plan and organise work and manage time effectively</w:t>
            </w:r>
          </w:p>
          <w:p w14:paraId="5BD0E5F2" w14:textId="08C0CCF8" w:rsidR="00901C37" w:rsidRPr="00802767" w:rsidRDefault="00901C37" w:rsidP="00901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802767">
              <w:rPr>
                <w:rFonts w:cstheme="minorHAnsi"/>
                <w:sz w:val="24"/>
                <w:szCs w:val="24"/>
              </w:rPr>
              <w:t xml:space="preserve">ommunicate effectively </w:t>
            </w:r>
            <w:r w:rsidR="00CF5B15" w:rsidRPr="00802767">
              <w:rPr>
                <w:rFonts w:cstheme="minorHAnsi"/>
                <w:sz w:val="24"/>
                <w:szCs w:val="24"/>
              </w:rPr>
              <w:t>i.e.,</w:t>
            </w:r>
            <w:r w:rsidRPr="00802767">
              <w:rPr>
                <w:rFonts w:cstheme="minorHAnsi"/>
                <w:sz w:val="24"/>
                <w:szCs w:val="24"/>
              </w:rPr>
              <w:t xml:space="preserve"> express information and ideas in a clear, concise and accurate manner; listens actively and ensures information is shared</w:t>
            </w:r>
          </w:p>
          <w:p w14:paraId="191FDC94" w14:textId="77777777" w:rsidR="00901C37" w:rsidRPr="00901C37" w:rsidRDefault="00901C37" w:rsidP="00901C37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802767">
              <w:rPr>
                <w:rFonts w:cstheme="minorHAnsi"/>
                <w:sz w:val="24"/>
                <w:szCs w:val="24"/>
              </w:rPr>
              <w:t>e open to new approaches and ideas, respond positively to change and adapt quickly to new situations</w:t>
            </w:r>
          </w:p>
          <w:p w14:paraId="75679F18" w14:textId="22F133A0" w:rsidR="006E05CF" w:rsidRPr="00CF5B15" w:rsidRDefault="00901C37" w:rsidP="006E05CF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outlineLvl w:val="1"/>
              <w:rPr>
                <w:rFonts w:cstheme="minorHAnsi"/>
                <w:color w:val="333333"/>
                <w:sz w:val="24"/>
                <w:szCs w:val="24"/>
                <w:lang w:val="en" w:eastAsia="en-GB"/>
              </w:rPr>
            </w:pPr>
            <w:r w:rsidRPr="00901C37">
              <w:rPr>
                <w:rFonts w:cstheme="minorHAnsi"/>
                <w:sz w:val="24"/>
                <w:szCs w:val="24"/>
              </w:rPr>
              <w:t>seek opportunities for continuous learning and professional growth</w:t>
            </w:r>
          </w:p>
        </w:tc>
      </w:tr>
      <w:tr w:rsidR="0079754E" w:rsidRPr="004F10D5" w14:paraId="56DA72E8" w14:textId="77777777" w:rsidTr="732F9A44">
        <w:tc>
          <w:tcPr>
            <w:tcW w:w="9016" w:type="dxa"/>
            <w:gridSpan w:val="2"/>
          </w:tcPr>
          <w:p w14:paraId="44AE0A52" w14:textId="78AC829E" w:rsidR="0079754E" w:rsidRDefault="007C481B" w:rsidP="0079754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CA2784">
              <w:rPr>
                <w:rFonts w:cstheme="minorHAnsi"/>
                <w:b/>
                <w:bCs/>
                <w:sz w:val="24"/>
                <w:szCs w:val="24"/>
              </w:rPr>
              <w:t xml:space="preserve">nowledge </w:t>
            </w:r>
            <w:r w:rsidR="00537F22">
              <w:rPr>
                <w:rFonts w:cstheme="minorHAnsi"/>
                <w:b/>
                <w:bCs/>
                <w:sz w:val="24"/>
                <w:szCs w:val="24"/>
              </w:rPr>
              <w:t>/ Experience</w:t>
            </w:r>
            <w:r w:rsidR="002F7C7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B294F86" w14:textId="43F4DF5E" w:rsidR="00537F22" w:rsidRDefault="00537F22" w:rsidP="0079754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8CE36F" w14:textId="57B14D70" w:rsidR="003B75D2" w:rsidRDefault="003B75D2" w:rsidP="003B75D2">
            <w:pPr>
              <w:rPr>
                <w:rFonts w:cstheme="minorHAnsi"/>
                <w:bCs/>
                <w:sz w:val="24"/>
                <w:szCs w:val="24"/>
              </w:rPr>
            </w:pPr>
            <w:r w:rsidRPr="00061A3D">
              <w:rPr>
                <w:rFonts w:cstheme="minorHAnsi"/>
                <w:bCs/>
                <w:sz w:val="24"/>
                <w:szCs w:val="24"/>
              </w:rPr>
              <w:t>The posthold</w:t>
            </w:r>
            <w:r>
              <w:rPr>
                <w:rFonts w:cstheme="minorHAnsi"/>
                <w:bCs/>
                <w:sz w:val="24"/>
                <w:szCs w:val="24"/>
              </w:rPr>
              <w:t xml:space="preserve">er will be able to demonstrate a sound understanding and </w:t>
            </w:r>
            <w:r w:rsidR="0067358D">
              <w:rPr>
                <w:rFonts w:cstheme="minorHAnsi"/>
                <w:bCs/>
                <w:sz w:val="24"/>
                <w:szCs w:val="24"/>
              </w:rPr>
              <w:t xml:space="preserve">/ or </w:t>
            </w:r>
            <w:r>
              <w:rPr>
                <w:rFonts w:cstheme="minorHAnsi"/>
                <w:bCs/>
                <w:sz w:val="24"/>
                <w:szCs w:val="24"/>
              </w:rPr>
              <w:t>record of achievement in the following:</w:t>
            </w:r>
          </w:p>
          <w:p w14:paraId="2429F34A" w14:textId="77777777" w:rsidR="003B75D2" w:rsidRPr="00646B54" w:rsidRDefault="003B75D2" w:rsidP="0079754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8AE11A" w14:textId="2B8A49EE" w:rsidR="00EC5813" w:rsidRPr="00646B54" w:rsidRDefault="00EC5813" w:rsidP="00913C09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646B54">
              <w:rPr>
                <w:rFonts w:cstheme="minorHAnsi"/>
                <w:bCs/>
                <w:sz w:val="24"/>
                <w:szCs w:val="24"/>
              </w:rPr>
              <w:t>Line management, supervision</w:t>
            </w:r>
            <w:r w:rsidR="00EB45C2" w:rsidRPr="00646B54">
              <w:rPr>
                <w:rFonts w:cstheme="minorHAnsi"/>
                <w:bCs/>
                <w:sz w:val="24"/>
                <w:szCs w:val="24"/>
              </w:rPr>
              <w:t xml:space="preserve"> or practice development</w:t>
            </w:r>
          </w:p>
          <w:p w14:paraId="6C419369" w14:textId="77777777" w:rsidR="001B757A" w:rsidRPr="00646B54" w:rsidRDefault="001B757A" w:rsidP="001B757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646B54">
              <w:rPr>
                <w:rFonts w:cstheme="minorHAnsi"/>
                <w:bCs/>
                <w:sz w:val="24"/>
                <w:szCs w:val="24"/>
              </w:rPr>
              <w:t>Working with whole families including parents, young people and children experiencing complex situations</w:t>
            </w:r>
          </w:p>
          <w:p w14:paraId="4A674ECE" w14:textId="493522E0" w:rsidR="001B757A" w:rsidRPr="00646B54" w:rsidRDefault="001B757A" w:rsidP="001B757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646B54">
              <w:rPr>
                <w:rFonts w:cstheme="minorHAnsi"/>
                <w:bCs/>
                <w:sz w:val="24"/>
                <w:szCs w:val="24"/>
              </w:rPr>
              <w:t>Supporting Parents, young people and children within the community using a strength-based approach</w:t>
            </w:r>
          </w:p>
          <w:p w14:paraId="603CFC3A" w14:textId="77777777" w:rsidR="00040762" w:rsidRPr="00C522BE" w:rsidRDefault="00040762" w:rsidP="00040762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  <w:r w:rsidRPr="00A362FF">
              <w:rPr>
                <w:rFonts w:cstheme="minorHAnsi"/>
                <w:bCs/>
                <w:sz w:val="24"/>
                <w:szCs w:val="24"/>
              </w:rPr>
              <w:t>Work</w:t>
            </w:r>
            <w:r>
              <w:rPr>
                <w:rFonts w:cstheme="minorHAnsi"/>
                <w:bCs/>
                <w:sz w:val="24"/>
                <w:szCs w:val="24"/>
              </w:rPr>
              <w:t>ing</w:t>
            </w:r>
            <w:r w:rsidRPr="00A362FF">
              <w:rPr>
                <w:rFonts w:cstheme="minorHAnsi"/>
                <w:bCs/>
                <w:sz w:val="24"/>
                <w:szCs w:val="24"/>
              </w:rPr>
              <w:t xml:space="preserve"> with Veterans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62FF">
              <w:rPr>
                <w:rFonts w:cstheme="minorHAnsi"/>
                <w:bCs/>
                <w:sz w:val="24"/>
                <w:szCs w:val="24"/>
              </w:rPr>
              <w:t xml:space="preserve">(regular or reserve) </w:t>
            </w:r>
            <w:r>
              <w:rPr>
                <w:rFonts w:cstheme="minorHAnsi"/>
                <w:bCs/>
                <w:sz w:val="24"/>
                <w:szCs w:val="24"/>
              </w:rPr>
              <w:t xml:space="preserve">and/or </w:t>
            </w:r>
            <w:r w:rsidRPr="00A362FF">
              <w:rPr>
                <w:rFonts w:cstheme="minorHAnsi"/>
                <w:bCs/>
                <w:sz w:val="24"/>
                <w:szCs w:val="24"/>
              </w:rPr>
              <w:t xml:space="preserve">family members of personnel who have previously served or who are currently serving in the Armed Forces </w:t>
            </w:r>
          </w:p>
          <w:p w14:paraId="1EA51E54" w14:textId="77777777" w:rsidR="00040762" w:rsidRDefault="00040762" w:rsidP="00040762">
            <w:pPr>
              <w:numPr>
                <w:ilvl w:val="0"/>
                <w:numId w:val="31"/>
              </w:numPr>
              <w:contextualSpacing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  <w:r w:rsidRPr="00A70C24">
              <w:rPr>
                <w:rFonts w:ascii="Calibri" w:eastAsia="Times New Roman" w:hAnsi="Calibri" w:cstheme="minorHAnsi"/>
                <w:bCs/>
                <w:sz w:val="24"/>
                <w:szCs w:val="24"/>
              </w:rPr>
              <w:t>Issues affecting Veterans and their famil</w:t>
            </w:r>
            <w:r>
              <w:rPr>
                <w:rFonts w:ascii="Calibri" w:eastAsia="Times New Roman" w:hAnsi="Calibri" w:cstheme="minorHAnsi"/>
                <w:bCs/>
                <w:sz w:val="24"/>
                <w:szCs w:val="24"/>
              </w:rPr>
              <w:t>y members</w:t>
            </w:r>
          </w:p>
          <w:p w14:paraId="08C13EE0" w14:textId="77777777" w:rsidR="001B757A" w:rsidRPr="001B757A" w:rsidRDefault="001B757A" w:rsidP="00CE123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1B757A">
              <w:rPr>
                <w:rFonts w:cstheme="minorHAnsi"/>
                <w:bCs/>
                <w:sz w:val="24"/>
                <w:szCs w:val="24"/>
              </w:rPr>
              <w:t>Safeguarding</w:t>
            </w:r>
          </w:p>
          <w:p w14:paraId="7E8644FA" w14:textId="757AF2CB" w:rsidR="00913C09" w:rsidRPr="001B757A" w:rsidRDefault="00913C09" w:rsidP="00CE123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1B757A">
              <w:rPr>
                <w:rFonts w:cstheme="minorHAnsi"/>
                <w:bCs/>
                <w:sz w:val="24"/>
                <w:szCs w:val="24"/>
              </w:rPr>
              <w:t>Multi-Agency engagement (including Heath, Education and Social Services)</w:t>
            </w:r>
          </w:p>
          <w:p w14:paraId="00111526" w14:textId="77777777" w:rsidR="00913C09" w:rsidRDefault="00913C09" w:rsidP="00913C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Restorative Practice, Conflict Resolution, Trauma-Informed Practice, Family Group Meetings</w:t>
            </w:r>
          </w:p>
          <w:p w14:paraId="517D8169" w14:textId="5BF0A00A" w:rsidR="0079754E" w:rsidRPr="005C193E" w:rsidRDefault="0079754E" w:rsidP="005C193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480A" w:rsidRPr="004F10D5" w14:paraId="02677107" w14:textId="77777777" w:rsidTr="732F9A44">
        <w:tc>
          <w:tcPr>
            <w:tcW w:w="9016" w:type="dxa"/>
            <w:gridSpan w:val="2"/>
          </w:tcPr>
          <w:p w14:paraId="7416C9DC" w14:textId="120E05DE" w:rsidR="00EF480A" w:rsidRPr="002A018E" w:rsidRDefault="00083CA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</w:t>
            </w:r>
            <w:r w:rsidR="008F54C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3C3D07D" w14:textId="77777777" w:rsidR="006E05CF" w:rsidRPr="005E5CAC" w:rsidRDefault="006E05CF" w:rsidP="006E05C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E5CAC">
              <w:rPr>
                <w:rFonts w:cstheme="minorHAnsi"/>
                <w:sz w:val="24"/>
                <w:szCs w:val="24"/>
              </w:rPr>
              <w:t>Display TGP Cymru values and behaviours at all times and actively promote them in others</w:t>
            </w:r>
          </w:p>
          <w:p w14:paraId="6A222DB7" w14:textId="77777777" w:rsidR="006E05CF" w:rsidRPr="005E5CAC" w:rsidRDefault="006E05CF" w:rsidP="006E05C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E5CAC">
              <w:rPr>
                <w:rFonts w:cstheme="minorHAnsi"/>
                <w:sz w:val="24"/>
                <w:szCs w:val="24"/>
              </w:rPr>
              <w:t>Commitment to equality and diversity</w:t>
            </w:r>
          </w:p>
          <w:p w14:paraId="3C40AB4F" w14:textId="77777777" w:rsidR="006E05CF" w:rsidRPr="00A1417B" w:rsidRDefault="006E05CF" w:rsidP="006E05C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5E5CAC">
              <w:rPr>
                <w:rFonts w:cstheme="minorHAnsi"/>
                <w:sz w:val="24"/>
                <w:szCs w:val="24"/>
              </w:rPr>
              <w:t xml:space="preserve">Full driving licence and have access to transport </w:t>
            </w:r>
            <w:r w:rsidRPr="00A1417B">
              <w:rPr>
                <w:rFonts w:cstheme="minorHAnsi"/>
                <w:i/>
                <w:sz w:val="24"/>
                <w:szCs w:val="24"/>
              </w:rPr>
              <w:t>(In certain circumstances consideration may be given to applicants who as a consequence of a disability are unable to drive.)</w:t>
            </w:r>
          </w:p>
          <w:p w14:paraId="533A1908" w14:textId="77777777" w:rsidR="00C25656" w:rsidRDefault="006E05CF" w:rsidP="006E05C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E5CAC">
              <w:rPr>
                <w:rFonts w:cstheme="minorHAnsi"/>
                <w:sz w:val="24"/>
                <w:szCs w:val="24"/>
              </w:rPr>
              <w:t>Ability to speak Welsh (desirable)</w:t>
            </w:r>
          </w:p>
          <w:p w14:paraId="06017EBB" w14:textId="332CA81C" w:rsidR="006E05CF" w:rsidRPr="006E05CF" w:rsidRDefault="006E05CF" w:rsidP="006E05CF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DA2F209" w14:textId="329B30EE" w:rsidR="00362A97" w:rsidRPr="004F10D5" w:rsidRDefault="00362A97" w:rsidP="00471911">
      <w:pPr>
        <w:rPr>
          <w:rFonts w:cstheme="minorHAnsi"/>
          <w:sz w:val="24"/>
          <w:szCs w:val="24"/>
        </w:rPr>
      </w:pPr>
    </w:p>
    <w:sectPr w:rsidR="00362A97" w:rsidRPr="004F10D5" w:rsidSect="00EB2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0E42" w14:textId="77777777" w:rsidR="008A6F43" w:rsidRDefault="008A6F43" w:rsidP="00A321DB">
      <w:pPr>
        <w:spacing w:after="0" w:line="240" w:lineRule="auto"/>
      </w:pPr>
      <w:r>
        <w:separator/>
      </w:r>
    </w:p>
  </w:endnote>
  <w:endnote w:type="continuationSeparator" w:id="0">
    <w:p w14:paraId="3232FB65" w14:textId="77777777" w:rsidR="008A6F43" w:rsidRDefault="008A6F43" w:rsidP="00A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588F" w14:textId="77777777" w:rsidR="00A321DB" w:rsidRDefault="00A32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CA59" w14:textId="77777777" w:rsidR="00A321DB" w:rsidRDefault="00A32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B68F" w14:textId="77777777" w:rsidR="00A321DB" w:rsidRDefault="00A32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58B5" w14:textId="77777777" w:rsidR="008A6F43" w:rsidRDefault="008A6F43" w:rsidP="00A321DB">
      <w:pPr>
        <w:spacing w:after="0" w:line="240" w:lineRule="auto"/>
      </w:pPr>
      <w:r>
        <w:separator/>
      </w:r>
    </w:p>
  </w:footnote>
  <w:footnote w:type="continuationSeparator" w:id="0">
    <w:p w14:paraId="7953E68D" w14:textId="77777777" w:rsidR="008A6F43" w:rsidRDefault="008A6F43" w:rsidP="00A3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60F8" w14:textId="6565F03E" w:rsidR="00A321DB" w:rsidRDefault="00A3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A01B" w14:textId="12BE6706" w:rsidR="00A321DB" w:rsidRDefault="00A3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D113" w14:textId="51C749C5" w:rsidR="00A321DB" w:rsidRDefault="00A3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77B"/>
    <w:multiLevelType w:val="hybridMultilevel"/>
    <w:tmpl w:val="1B969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50D0"/>
    <w:multiLevelType w:val="hybridMultilevel"/>
    <w:tmpl w:val="B31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008"/>
    <w:multiLevelType w:val="hybridMultilevel"/>
    <w:tmpl w:val="4058C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E92"/>
    <w:multiLevelType w:val="multilevel"/>
    <w:tmpl w:val="679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749B2"/>
    <w:multiLevelType w:val="hybridMultilevel"/>
    <w:tmpl w:val="E588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04E"/>
    <w:multiLevelType w:val="hybridMultilevel"/>
    <w:tmpl w:val="0D2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ACE"/>
    <w:multiLevelType w:val="hybridMultilevel"/>
    <w:tmpl w:val="F32C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C59"/>
    <w:multiLevelType w:val="hybridMultilevel"/>
    <w:tmpl w:val="181C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04894"/>
    <w:multiLevelType w:val="hybridMultilevel"/>
    <w:tmpl w:val="41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6A"/>
    <w:multiLevelType w:val="multilevel"/>
    <w:tmpl w:val="5CD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572B7"/>
    <w:multiLevelType w:val="hybridMultilevel"/>
    <w:tmpl w:val="5D3C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402B"/>
    <w:multiLevelType w:val="hybridMultilevel"/>
    <w:tmpl w:val="0440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B7000"/>
    <w:multiLevelType w:val="hybridMultilevel"/>
    <w:tmpl w:val="E260314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333A6BC9"/>
    <w:multiLevelType w:val="hybridMultilevel"/>
    <w:tmpl w:val="DED8A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D0C41"/>
    <w:multiLevelType w:val="hybridMultilevel"/>
    <w:tmpl w:val="977A9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2279"/>
    <w:multiLevelType w:val="hybridMultilevel"/>
    <w:tmpl w:val="85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6B10"/>
    <w:multiLevelType w:val="hybridMultilevel"/>
    <w:tmpl w:val="470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74C1C"/>
    <w:multiLevelType w:val="hybridMultilevel"/>
    <w:tmpl w:val="9A4A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C4E0E"/>
    <w:multiLevelType w:val="hybridMultilevel"/>
    <w:tmpl w:val="7934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633B"/>
    <w:multiLevelType w:val="hybridMultilevel"/>
    <w:tmpl w:val="5C5A6D1E"/>
    <w:lvl w:ilvl="0" w:tplc="2A16ECF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6503"/>
    <w:multiLevelType w:val="hybridMultilevel"/>
    <w:tmpl w:val="EBA4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13B67"/>
    <w:multiLevelType w:val="hybridMultilevel"/>
    <w:tmpl w:val="1F4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304A3"/>
    <w:multiLevelType w:val="hybridMultilevel"/>
    <w:tmpl w:val="8B4AFC94"/>
    <w:lvl w:ilvl="0" w:tplc="527CA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26350"/>
    <w:multiLevelType w:val="hybridMultilevel"/>
    <w:tmpl w:val="1718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2D56"/>
    <w:multiLevelType w:val="hybridMultilevel"/>
    <w:tmpl w:val="E464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5DB1"/>
    <w:multiLevelType w:val="hybridMultilevel"/>
    <w:tmpl w:val="2760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2AB8"/>
    <w:multiLevelType w:val="hybridMultilevel"/>
    <w:tmpl w:val="33DA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270B4"/>
    <w:multiLevelType w:val="hybridMultilevel"/>
    <w:tmpl w:val="09A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3A0C"/>
    <w:multiLevelType w:val="hybridMultilevel"/>
    <w:tmpl w:val="271A8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45A06"/>
    <w:multiLevelType w:val="hybridMultilevel"/>
    <w:tmpl w:val="5A16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54928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0573417">
    <w:abstractNumId w:val="28"/>
  </w:num>
  <w:num w:numId="3" w16cid:durableId="1679237392">
    <w:abstractNumId w:val="25"/>
  </w:num>
  <w:num w:numId="4" w16cid:durableId="772093403">
    <w:abstractNumId w:val="23"/>
  </w:num>
  <w:num w:numId="5" w16cid:durableId="557977507">
    <w:abstractNumId w:val="0"/>
  </w:num>
  <w:num w:numId="6" w16cid:durableId="1704089183">
    <w:abstractNumId w:val="27"/>
  </w:num>
  <w:num w:numId="7" w16cid:durableId="952831664">
    <w:abstractNumId w:val="21"/>
  </w:num>
  <w:num w:numId="8" w16cid:durableId="1337221898">
    <w:abstractNumId w:val="9"/>
  </w:num>
  <w:num w:numId="9" w16cid:durableId="262033006">
    <w:abstractNumId w:val="3"/>
  </w:num>
  <w:num w:numId="10" w16cid:durableId="1697776017">
    <w:abstractNumId w:val="15"/>
  </w:num>
  <w:num w:numId="11" w16cid:durableId="47531117">
    <w:abstractNumId w:val="11"/>
  </w:num>
  <w:num w:numId="12" w16cid:durableId="1157696868">
    <w:abstractNumId w:val="7"/>
  </w:num>
  <w:num w:numId="13" w16cid:durableId="62416910">
    <w:abstractNumId w:val="22"/>
  </w:num>
  <w:num w:numId="14" w16cid:durableId="1087074001">
    <w:abstractNumId w:val="12"/>
  </w:num>
  <w:num w:numId="15" w16cid:durableId="622613588">
    <w:abstractNumId w:val="10"/>
  </w:num>
  <w:num w:numId="16" w16cid:durableId="1997952336">
    <w:abstractNumId w:val="13"/>
  </w:num>
  <w:num w:numId="17" w16cid:durableId="1790934461">
    <w:abstractNumId w:val="6"/>
  </w:num>
  <w:num w:numId="18" w16cid:durableId="1370110595">
    <w:abstractNumId w:val="18"/>
  </w:num>
  <w:num w:numId="19" w16cid:durableId="680622135">
    <w:abstractNumId w:val="17"/>
  </w:num>
  <w:num w:numId="20" w16cid:durableId="267085933">
    <w:abstractNumId w:val="20"/>
  </w:num>
  <w:num w:numId="21" w16cid:durableId="1332372630">
    <w:abstractNumId w:val="5"/>
  </w:num>
  <w:num w:numId="22" w16cid:durableId="1963143781">
    <w:abstractNumId w:val="8"/>
  </w:num>
  <w:num w:numId="23" w16cid:durableId="1313096635">
    <w:abstractNumId w:val="2"/>
  </w:num>
  <w:num w:numId="24" w16cid:durableId="2071078643">
    <w:abstractNumId w:val="19"/>
  </w:num>
  <w:num w:numId="25" w16cid:durableId="1220704991">
    <w:abstractNumId w:val="29"/>
  </w:num>
  <w:num w:numId="26" w16cid:durableId="414909389">
    <w:abstractNumId w:val="1"/>
  </w:num>
  <w:num w:numId="27" w16cid:durableId="1426921163">
    <w:abstractNumId w:val="14"/>
  </w:num>
  <w:num w:numId="28" w16cid:durableId="2101677567">
    <w:abstractNumId w:val="4"/>
  </w:num>
  <w:num w:numId="29" w16cid:durableId="2019112277">
    <w:abstractNumId w:val="16"/>
  </w:num>
  <w:num w:numId="30" w16cid:durableId="1550992334">
    <w:abstractNumId w:val="26"/>
  </w:num>
  <w:num w:numId="31" w16cid:durableId="2121683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97"/>
    <w:rsid w:val="000107C3"/>
    <w:rsid w:val="00022CC5"/>
    <w:rsid w:val="00040762"/>
    <w:rsid w:val="0006385C"/>
    <w:rsid w:val="00067186"/>
    <w:rsid w:val="000678B1"/>
    <w:rsid w:val="0007192C"/>
    <w:rsid w:val="00081602"/>
    <w:rsid w:val="00082FF9"/>
    <w:rsid w:val="00083CAF"/>
    <w:rsid w:val="00087701"/>
    <w:rsid w:val="0009173D"/>
    <w:rsid w:val="000977C2"/>
    <w:rsid w:val="000A3DEE"/>
    <w:rsid w:val="000B1D02"/>
    <w:rsid w:val="000C69DB"/>
    <w:rsid w:val="000D1A8E"/>
    <w:rsid w:val="000E1F6E"/>
    <w:rsid w:val="000E38D7"/>
    <w:rsid w:val="00114394"/>
    <w:rsid w:val="00126739"/>
    <w:rsid w:val="00134D95"/>
    <w:rsid w:val="00137FC5"/>
    <w:rsid w:val="001510D3"/>
    <w:rsid w:val="00163965"/>
    <w:rsid w:val="0016500D"/>
    <w:rsid w:val="001759CA"/>
    <w:rsid w:val="001A2FED"/>
    <w:rsid w:val="001B757A"/>
    <w:rsid w:val="001D5EA5"/>
    <w:rsid w:val="001E406F"/>
    <w:rsid w:val="001E5A47"/>
    <w:rsid w:val="001F09CC"/>
    <w:rsid w:val="00203B29"/>
    <w:rsid w:val="0020421C"/>
    <w:rsid w:val="002631CC"/>
    <w:rsid w:val="00266C9B"/>
    <w:rsid w:val="00277243"/>
    <w:rsid w:val="00282D7E"/>
    <w:rsid w:val="00293E0E"/>
    <w:rsid w:val="002A018E"/>
    <w:rsid w:val="002B06E1"/>
    <w:rsid w:val="002B2C7C"/>
    <w:rsid w:val="002C1B5A"/>
    <w:rsid w:val="002D0192"/>
    <w:rsid w:val="002E0AFB"/>
    <w:rsid w:val="002F7C79"/>
    <w:rsid w:val="00302702"/>
    <w:rsid w:val="00326132"/>
    <w:rsid w:val="00330CD4"/>
    <w:rsid w:val="0033312E"/>
    <w:rsid w:val="00335DBA"/>
    <w:rsid w:val="003524A7"/>
    <w:rsid w:val="003537FD"/>
    <w:rsid w:val="00362A97"/>
    <w:rsid w:val="00377258"/>
    <w:rsid w:val="003823DA"/>
    <w:rsid w:val="00384E9E"/>
    <w:rsid w:val="003B020D"/>
    <w:rsid w:val="003B37F0"/>
    <w:rsid w:val="003B75D2"/>
    <w:rsid w:val="003C6F3C"/>
    <w:rsid w:val="003D7EED"/>
    <w:rsid w:val="003E691D"/>
    <w:rsid w:val="00407E7E"/>
    <w:rsid w:val="004160B7"/>
    <w:rsid w:val="0043124E"/>
    <w:rsid w:val="00441E12"/>
    <w:rsid w:val="00445EA6"/>
    <w:rsid w:val="004602FE"/>
    <w:rsid w:val="0046717E"/>
    <w:rsid w:val="00470F43"/>
    <w:rsid w:val="00471911"/>
    <w:rsid w:val="00487A25"/>
    <w:rsid w:val="004D154C"/>
    <w:rsid w:val="004D293A"/>
    <w:rsid w:val="004D2AF3"/>
    <w:rsid w:val="004D5232"/>
    <w:rsid w:val="004D5968"/>
    <w:rsid w:val="004F10D5"/>
    <w:rsid w:val="004F661A"/>
    <w:rsid w:val="0050133C"/>
    <w:rsid w:val="005048AE"/>
    <w:rsid w:val="00527462"/>
    <w:rsid w:val="00530892"/>
    <w:rsid w:val="00537F22"/>
    <w:rsid w:val="00554EF8"/>
    <w:rsid w:val="00555ECB"/>
    <w:rsid w:val="0056176E"/>
    <w:rsid w:val="0056363F"/>
    <w:rsid w:val="00577A3F"/>
    <w:rsid w:val="00593221"/>
    <w:rsid w:val="005A1D25"/>
    <w:rsid w:val="005A5699"/>
    <w:rsid w:val="005B33AE"/>
    <w:rsid w:val="005C193E"/>
    <w:rsid w:val="005C2A4C"/>
    <w:rsid w:val="005D00E6"/>
    <w:rsid w:val="005E27F2"/>
    <w:rsid w:val="005E7C1E"/>
    <w:rsid w:val="00600097"/>
    <w:rsid w:val="006007EC"/>
    <w:rsid w:val="00600E3E"/>
    <w:rsid w:val="00603F97"/>
    <w:rsid w:val="00631C03"/>
    <w:rsid w:val="00641434"/>
    <w:rsid w:val="00641792"/>
    <w:rsid w:val="00642C26"/>
    <w:rsid w:val="00646B54"/>
    <w:rsid w:val="00664DE7"/>
    <w:rsid w:val="0067358D"/>
    <w:rsid w:val="00677561"/>
    <w:rsid w:val="00681862"/>
    <w:rsid w:val="006E05CF"/>
    <w:rsid w:val="006E670D"/>
    <w:rsid w:val="006F5FE0"/>
    <w:rsid w:val="007130B6"/>
    <w:rsid w:val="007151FD"/>
    <w:rsid w:val="00727072"/>
    <w:rsid w:val="00742D12"/>
    <w:rsid w:val="00745FC2"/>
    <w:rsid w:val="00747397"/>
    <w:rsid w:val="00773441"/>
    <w:rsid w:val="00782D90"/>
    <w:rsid w:val="00790015"/>
    <w:rsid w:val="00790E27"/>
    <w:rsid w:val="007973D0"/>
    <w:rsid w:val="0079754E"/>
    <w:rsid w:val="007A461C"/>
    <w:rsid w:val="007C481B"/>
    <w:rsid w:val="007D6817"/>
    <w:rsid w:val="007E04AE"/>
    <w:rsid w:val="007E260C"/>
    <w:rsid w:val="007E688C"/>
    <w:rsid w:val="007F3B01"/>
    <w:rsid w:val="007F724C"/>
    <w:rsid w:val="00802767"/>
    <w:rsid w:val="0081065C"/>
    <w:rsid w:val="00846D35"/>
    <w:rsid w:val="0087592E"/>
    <w:rsid w:val="00891B94"/>
    <w:rsid w:val="008966F4"/>
    <w:rsid w:val="008A6F43"/>
    <w:rsid w:val="008B1F8D"/>
    <w:rsid w:val="008D0F87"/>
    <w:rsid w:val="008D1807"/>
    <w:rsid w:val="008D1E0C"/>
    <w:rsid w:val="008D77F9"/>
    <w:rsid w:val="008F0990"/>
    <w:rsid w:val="008F54CA"/>
    <w:rsid w:val="00901C37"/>
    <w:rsid w:val="0090594D"/>
    <w:rsid w:val="00907A89"/>
    <w:rsid w:val="00913C09"/>
    <w:rsid w:val="00914994"/>
    <w:rsid w:val="00915B85"/>
    <w:rsid w:val="00923D8C"/>
    <w:rsid w:val="00952130"/>
    <w:rsid w:val="00953799"/>
    <w:rsid w:val="00956210"/>
    <w:rsid w:val="00963BD9"/>
    <w:rsid w:val="0097155C"/>
    <w:rsid w:val="00977FDB"/>
    <w:rsid w:val="00985090"/>
    <w:rsid w:val="009911E9"/>
    <w:rsid w:val="009B02F1"/>
    <w:rsid w:val="009B04D9"/>
    <w:rsid w:val="009B0E28"/>
    <w:rsid w:val="009B2DEC"/>
    <w:rsid w:val="009B5BEE"/>
    <w:rsid w:val="009D6195"/>
    <w:rsid w:val="009E402E"/>
    <w:rsid w:val="009F4CF7"/>
    <w:rsid w:val="00A00126"/>
    <w:rsid w:val="00A00EA3"/>
    <w:rsid w:val="00A116AD"/>
    <w:rsid w:val="00A13E7B"/>
    <w:rsid w:val="00A321DB"/>
    <w:rsid w:val="00A362FF"/>
    <w:rsid w:val="00A4043A"/>
    <w:rsid w:val="00A55BEE"/>
    <w:rsid w:val="00A6064F"/>
    <w:rsid w:val="00A7733F"/>
    <w:rsid w:val="00A80593"/>
    <w:rsid w:val="00A97263"/>
    <w:rsid w:val="00AA12D0"/>
    <w:rsid w:val="00AA6022"/>
    <w:rsid w:val="00AC2B33"/>
    <w:rsid w:val="00AD11D8"/>
    <w:rsid w:val="00AD379E"/>
    <w:rsid w:val="00AF4F10"/>
    <w:rsid w:val="00B02C5D"/>
    <w:rsid w:val="00B04D15"/>
    <w:rsid w:val="00B272AC"/>
    <w:rsid w:val="00B31F0B"/>
    <w:rsid w:val="00B32176"/>
    <w:rsid w:val="00B46717"/>
    <w:rsid w:val="00B65943"/>
    <w:rsid w:val="00B77947"/>
    <w:rsid w:val="00B9431C"/>
    <w:rsid w:val="00B95BFE"/>
    <w:rsid w:val="00BA0023"/>
    <w:rsid w:val="00BA440A"/>
    <w:rsid w:val="00BA554C"/>
    <w:rsid w:val="00BB1829"/>
    <w:rsid w:val="00BB5995"/>
    <w:rsid w:val="00BD021B"/>
    <w:rsid w:val="00C03FB4"/>
    <w:rsid w:val="00C0752E"/>
    <w:rsid w:val="00C1117D"/>
    <w:rsid w:val="00C126DA"/>
    <w:rsid w:val="00C13632"/>
    <w:rsid w:val="00C16735"/>
    <w:rsid w:val="00C16C06"/>
    <w:rsid w:val="00C25656"/>
    <w:rsid w:val="00C26439"/>
    <w:rsid w:val="00C30E34"/>
    <w:rsid w:val="00C42ED3"/>
    <w:rsid w:val="00C607C9"/>
    <w:rsid w:val="00C60E80"/>
    <w:rsid w:val="00C655FF"/>
    <w:rsid w:val="00C741AB"/>
    <w:rsid w:val="00CA266D"/>
    <w:rsid w:val="00CA2784"/>
    <w:rsid w:val="00CA7CEA"/>
    <w:rsid w:val="00CB1DA4"/>
    <w:rsid w:val="00CC1C19"/>
    <w:rsid w:val="00CC50CB"/>
    <w:rsid w:val="00CF15FD"/>
    <w:rsid w:val="00CF5B15"/>
    <w:rsid w:val="00CF5DC1"/>
    <w:rsid w:val="00CF7A93"/>
    <w:rsid w:val="00D0214A"/>
    <w:rsid w:val="00D03062"/>
    <w:rsid w:val="00D234D9"/>
    <w:rsid w:val="00D322C7"/>
    <w:rsid w:val="00D343C8"/>
    <w:rsid w:val="00D47872"/>
    <w:rsid w:val="00D61DDD"/>
    <w:rsid w:val="00D63AEF"/>
    <w:rsid w:val="00D823DA"/>
    <w:rsid w:val="00DD06FD"/>
    <w:rsid w:val="00DD08D9"/>
    <w:rsid w:val="00DD2FEF"/>
    <w:rsid w:val="00DE3022"/>
    <w:rsid w:val="00DE44D2"/>
    <w:rsid w:val="00E072E8"/>
    <w:rsid w:val="00E10DC1"/>
    <w:rsid w:val="00E126AB"/>
    <w:rsid w:val="00E13F3F"/>
    <w:rsid w:val="00E1404E"/>
    <w:rsid w:val="00E21E65"/>
    <w:rsid w:val="00E4475C"/>
    <w:rsid w:val="00E5157D"/>
    <w:rsid w:val="00E721E4"/>
    <w:rsid w:val="00E754B8"/>
    <w:rsid w:val="00E75556"/>
    <w:rsid w:val="00E81936"/>
    <w:rsid w:val="00E907FE"/>
    <w:rsid w:val="00EA0936"/>
    <w:rsid w:val="00EA4C78"/>
    <w:rsid w:val="00EB22F5"/>
    <w:rsid w:val="00EB45C2"/>
    <w:rsid w:val="00EC545D"/>
    <w:rsid w:val="00EC5813"/>
    <w:rsid w:val="00ED3E4E"/>
    <w:rsid w:val="00EF480A"/>
    <w:rsid w:val="00F00947"/>
    <w:rsid w:val="00F02E2F"/>
    <w:rsid w:val="00F40011"/>
    <w:rsid w:val="00F43EF0"/>
    <w:rsid w:val="00F7179A"/>
    <w:rsid w:val="00F90B8B"/>
    <w:rsid w:val="00F9692D"/>
    <w:rsid w:val="00FA3C8A"/>
    <w:rsid w:val="00FB59B1"/>
    <w:rsid w:val="00FD0EBF"/>
    <w:rsid w:val="00FD44D1"/>
    <w:rsid w:val="00FD4E0E"/>
    <w:rsid w:val="00FD6C87"/>
    <w:rsid w:val="00FE735F"/>
    <w:rsid w:val="732F9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4B991"/>
  <w15:chartTrackingRefBased/>
  <w15:docId w15:val="{F05607BE-EBB2-4859-A7A0-D1E65409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480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2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DB"/>
  </w:style>
  <w:style w:type="paragraph" w:styleId="Footer">
    <w:name w:val="footer"/>
    <w:basedOn w:val="Normal"/>
    <w:link w:val="FooterChar"/>
    <w:uiPriority w:val="99"/>
    <w:unhideWhenUsed/>
    <w:rsid w:val="00A32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DB"/>
  </w:style>
  <w:style w:type="character" w:styleId="Hyperlink">
    <w:name w:val="Hyperlink"/>
    <w:rsid w:val="00C1117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1117D"/>
  </w:style>
  <w:style w:type="paragraph" w:styleId="BodyText">
    <w:name w:val="Body Text"/>
    <w:basedOn w:val="Normal"/>
    <w:link w:val="BodyTextChar"/>
    <w:rsid w:val="00A7733F"/>
    <w:pPr>
      <w:widowControl w:val="0"/>
      <w:spacing w:after="12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733F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E2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459650a-2447-4a3a-b691-5c8691f2d6ee">
      <Terms xmlns="http://schemas.microsoft.com/office/infopath/2007/PartnerControls"/>
    </lcf76f155ced4ddcb4097134ff3c332f>
    <_ip_UnifiedCompliancePolicyProperties xmlns="http://schemas.microsoft.com/sharepoint/v3" xsi:nil="true"/>
    <TaxCatchAll xmlns="e2fece75-634c-4139-9f5e-f0f320fe37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0E46C09ACB94D832739291B1827A3" ma:contentTypeVersion="19" ma:contentTypeDescription="Create a new document." ma:contentTypeScope="" ma:versionID="bf1195af64d357da7e7ef17b81c4bd40">
  <xsd:schema xmlns:xsd="http://www.w3.org/2001/XMLSchema" xmlns:xs="http://www.w3.org/2001/XMLSchema" xmlns:p="http://schemas.microsoft.com/office/2006/metadata/properties" xmlns:ns1="http://schemas.microsoft.com/sharepoint/v3" xmlns:ns2="6459650a-2447-4a3a-b691-5c8691f2d6ee" xmlns:ns3="e2fece75-634c-4139-9f5e-f0f320fe3786" targetNamespace="http://schemas.microsoft.com/office/2006/metadata/properties" ma:root="true" ma:fieldsID="8692b62e04dfc64d9a06d829ea18d646" ns1:_="" ns2:_="" ns3:_="">
    <xsd:import namespace="http://schemas.microsoft.com/sharepoint/v3"/>
    <xsd:import namespace="6459650a-2447-4a3a-b691-5c8691f2d6ee"/>
    <xsd:import namespace="e2fece75-634c-4139-9f5e-f0f320fe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650a-2447-4a3a-b691-5c8691f2d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86a7c8-fcff-4123-8216-386db3fa5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ce75-634c-4139-9f5e-f0f320fe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154f22-fb9f-465f-8370-4aa6d599be23}" ma:internalName="TaxCatchAll" ma:showField="CatchAllData" ma:web="e2fece75-634c-4139-9f5e-f0f320fe3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44EB1-074D-41A6-B54B-168E7C5461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59650a-2447-4a3a-b691-5c8691f2d6ee"/>
    <ds:schemaRef ds:uri="e2fece75-634c-4139-9f5e-f0f320fe3786"/>
  </ds:schemaRefs>
</ds:datastoreItem>
</file>

<file path=customXml/itemProps2.xml><?xml version="1.0" encoding="utf-8"?>
<ds:datastoreItem xmlns:ds="http://schemas.openxmlformats.org/officeDocument/2006/customXml" ds:itemID="{DC557492-E851-44ED-8CC0-90B7A14B7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59650a-2447-4a3a-b691-5c8691f2d6ee"/>
    <ds:schemaRef ds:uri="e2fece75-634c-4139-9f5e-f0f320fe3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F0086-87C4-4327-9B84-F657D4B3D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Jenny Cuthbertson</cp:lastModifiedBy>
  <cp:revision>4</cp:revision>
  <dcterms:created xsi:type="dcterms:W3CDTF">2024-10-22T08:36:00Z</dcterms:created>
  <dcterms:modified xsi:type="dcterms:W3CDTF">2024-10-24T12:50:00Z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0x01010086F0E46C09ACB94D832739291B1827A3</vt:lpwstr>
  </property>
  <property fmtid="{D5CDD505-2E9C-101B-9397-08002B2CF9AE}" pid="3" name="MediaServiceImageTags">
    <vt:lpwstr/>
  </property>
</Properties>
</file>